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72A49" w14:textId="7606C19D" w:rsidR="00AD4838" w:rsidRDefault="00E1149B" w:rsidP="00E1149B">
      <w:pPr>
        <w:jc w:val="center"/>
        <w:rPr>
          <w:rFonts w:ascii="宋体" w:eastAsia="宋体" w:hAnsi="宋体"/>
          <w:sz w:val="32"/>
          <w:szCs w:val="32"/>
        </w:rPr>
      </w:pPr>
      <w:r w:rsidRPr="00E1149B">
        <w:rPr>
          <w:rFonts w:ascii="宋体" w:eastAsia="宋体" w:hAnsi="宋体" w:hint="eastAsia"/>
          <w:sz w:val="32"/>
          <w:szCs w:val="32"/>
        </w:rPr>
        <w:t>山东第一医科大学附属皮肤病医院（山东省皮肤病医院）</w:t>
      </w:r>
    </w:p>
    <w:p w14:paraId="7C3EA2E3" w14:textId="7A5A64D1" w:rsidR="00E1149B" w:rsidRPr="00E1149B" w:rsidRDefault="00E1149B" w:rsidP="00E1149B">
      <w:pPr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药物临床试验立项材料清单</w:t>
      </w:r>
    </w:p>
    <w:tbl>
      <w:tblPr>
        <w:tblW w:w="9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376"/>
        <w:gridCol w:w="5536"/>
      </w:tblGrid>
      <w:tr w:rsidR="00E1149B" w:rsidRPr="00E1149B" w14:paraId="086109E4" w14:textId="77777777" w:rsidTr="00E1149B">
        <w:trPr>
          <w:gridAfter w:val="2"/>
          <w:wAfter w:w="8912" w:type="dxa"/>
          <w:trHeight w:val="185"/>
        </w:trPr>
        <w:tc>
          <w:tcPr>
            <w:tcW w:w="0" w:type="auto"/>
            <w:shd w:val="clear" w:color="auto" w:fill="F7FAFF"/>
            <w:vAlign w:val="center"/>
            <w:hideMark/>
          </w:tcPr>
          <w:p w14:paraId="4B835502" w14:textId="77777777" w:rsidR="00E1149B" w:rsidRPr="00E1149B" w:rsidRDefault="00E1149B" w:rsidP="00E1149B"/>
        </w:tc>
      </w:tr>
      <w:tr w:rsidR="00E1149B" w:rsidRPr="00E1149B" w14:paraId="21B0E785" w14:textId="77777777" w:rsidTr="00E1149B">
        <w:trPr>
          <w:trHeight w:val="10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53358" w14:textId="77777777" w:rsidR="00E1149B" w:rsidRPr="00E1149B" w:rsidRDefault="00E1149B" w:rsidP="00E1149B">
            <w:r w:rsidRPr="00E1149B">
              <w:rPr>
                <w:rFonts w:hint="eastAsia"/>
              </w:rPr>
              <w:t>序号</w:t>
            </w:r>
          </w:p>
        </w:tc>
        <w:tc>
          <w:tcPr>
            <w:tcW w:w="3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4F5D55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资料名称</w:t>
            </w:r>
          </w:p>
        </w:tc>
        <w:tc>
          <w:tcPr>
            <w:tcW w:w="5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C5FB8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备注</w:t>
            </w:r>
          </w:p>
        </w:tc>
      </w:tr>
      <w:tr w:rsidR="00E1149B" w:rsidRPr="00E1149B" w14:paraId="351BB259" w14:textId="77777777" w:rsidTr="00E1149B">
        <w:trPr>
          <w:trHeight w:val="207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AE8C58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4ADA32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申办者或CRO委托临床试验机构进行临床试验的委托函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A17BEB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纸质版需要提供盖章的原件</w:t>
            </w:r>
          </w:p>
        </w:tc>
      </w:tr>
      <w:tr w:rsidR="00E1149B" w:rsidRPr="00E1149B" w14:paraId="0DD66887" w14:textId="77777777" w:rsidTr="00E1149B">
        <w:trPr>
          <w:trHeight w:val="319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95E138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EDCF80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NMPA批件或临床试验通知书/备案文件或注册临床批件（IV期试验）（编号_____________）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3E3726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非注册药物临床试验或临床研究可提供注册临床批件（但须注明为非注册临床试验）；创新药需要前置伦理立项的，可不提供，需提供说明）</w:t>
            </w:r>
          </w:p>
        </w:tc>
      </w:tr>
      <w:tr w:rsidR="00E1149B" w:rsidRPr="00E1149B" w14:paraId="73354BF0" w14:textId="77777777" w:rsidTr="00E1149B">
        <w:trPr>
          <w:trHeight w:val="207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74AD99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34CD61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申办者的资质（营业执照等）、GMP证书或满足GMP条件的声明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7D363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委托生产需提供委托生产说明及被委托方资质</w:t>
            </w:r>
          </w:p>
        </w:tc>
      </w:tr>
      <w:tr w:rsidR="00E1149B" w:rsidRPr="00E1149B" w14:paraId="62B97C43" w14:textId="77777777" w:rsidTr="00E1149B">
        <w:trPr>
          <w:trHeight w:val="212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F2142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9BD08B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申办者给CRO的委托函和CRO资质（如适用）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9C5019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资质包括营业执照等，</w:t>
            </w:r>
            <w:proofErr w:type="gramStart"/>
            <w:r w:rsidRPr="00E1149B">
              <w:rPr>
                <w:rFonts w:hint="eastAsia"/>
              </w:rPr>
              <w:t>委托函应为</w:t>
            </w:r>
            <w:proofErr w:type="gramEnd"/>
            <w:r w:rsidRPr="00E1149B">
              <w:rPr>
                <w:rFonts w:hint="eastAsia"/>
              </w:rPr>
              <w:t>双方盖章件</w:t>
            </w:r>
          </w:p>
        </w:tc>
      </w:tr>
      <w:tr w:rsidR="00E1149B" w:rsidRPr="00E1149B" w14:paraId="31E8CEEA" w14:textId="77777777" w:rsidTr="00E1149B">
        <w:trPr>
          <w:trHeight w:val="212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E1047D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75E356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中心实验室或第三方实验室（如适用）资质及室间质评证书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9F2F5C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无中心实验室可不提供</w:t>
            </w:r>
          </w:p>
        </w:tc>
      </w:tr>
      <w:tr w:rsidR="00E1149B" w:rsidRPr="00E1149B" w14:paraId="373AD8CC" w14:textId="77777777" w:rsidTr="00E1149B">
        <w:trPr>
          <w:trHeight w:val="207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6AF77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963482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监查员委托函、简历及资质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69359F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资质包括：身份证复印件、GCP证书（近三年）、毕业证、学位证</w:t>
            </w:r>
          </w:p>
        </w:tc>
      </w:tr>
      <w:tr w:rsidR="00E1149B" w:rsidRPr="00E1149B" w14:paraId="74DC400B" w14:textId="77777777" w:rsidTr="00E1149B">
        <w:trPr>
          <w:trHeight w:val="319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BE140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1D379A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我国人类遗传资源采集、保藏、利用、对外提供的</w:t>
            </w:r>
            <w:proofErr w:type="gramStart"/>
            <w:r w:rsidRPr="00E1149B">
              <w:rPr>
                <w:rFonts w:hint="eastAsia"/>
              </w:rPr>
              <w:t>既往审批</w:t>
            </w:r>
            <w:proofErr w:type="gramEnd"/>
            <w:r w:rsidRPr="00E1149B">
              <w:rPr>
                <w:rFonts w:hint="eastAsia"/>
              </w:rPr>
              <w:t>/备案材料（申请书、受理文件、批件、备案证明等）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EB099B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如不涉及遗传资源审批或</w:t>
            </w:r>
            <w:proofErr w:type="gramStart"/>
            <w:r w:rsidRPr="00E1149B">
              <w:rPr>
                <w:rFonts w:hint="eastAsia"/>
              </w:rPr>
              <w:t>单中心</w:t>
            </w:r>
            <w:proofErr w:type="gramEnd"/>
            <w:r w:rsidRPr="00E1149B">
              <w:rPr>
                <w:rFonts w:hint="eastAsia"/>
              </w:rPr>
              <w:t>项目通过伦理后才申报遗传批件的需提交说明</w:t>
            </w:r>
          </w:p>
        </w:tc>
      </w:tr>
      <w:tr w:rsidR="00E1149B" w:rsidRPr="00E1149B" w14:paraId="39A3F600" w14:textId="77777777" w:rsidTr="00E1149B">
        <w:trPr>
          <w:trHeight w:val="207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1E3CD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8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DD086A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组长单位的伦理批件和成员表（如适用）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8954A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本中心为组长单位的可不提供，如果组长单位伦理为修改后同意，需提供审查意见函和伦理同意的审批件</w:t>
            </w:r>
          </w:p>
        </w:tc>
      </w:tr>
      <w:tr w:rsidR="00E1149B" w:rsidRPr="00E1149B" w14:paraId="0990EF35" w14:textId="77777777" w:rsidTr="00E1149B">
        <w:trPr>
          <w:trHeight w:val="106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127BA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9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FE0095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研究者手册（版本号，日期）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693131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如有实验室操作手册也放到此项下</w:t>
            </w:r>
          </w:p>
        </w:tc>
      </w:tr>
      <w:tr w:rsidR="00E1149B" w:rsidRPr="00E1149B" w14:paraId="773AE093" w14:textId="77777777" w:rsidTr="00E1149B">
        <w:trPr>
          <w:trHeight w:val="420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3585E5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5E5A29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试验方案（版本号、日期）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B5CB09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需有组长单位PI签字页复印件，需要申办者和统计单位等的签字页复印件有本中心PI签字页原件，需通过组长单位伦理批准；本中心为组长单位者可不提供组长单位PI签字和伦理审查批件。</w:t>
            </w:r>
          </w:p>
        </w:tc>
      </w:tr>
      <w:tr w:rsidR="00E1149B" w:rsidRPr="00E1149B" w14:paraId="11585F37" w14:textId="77777777" w:rsidTr="00E1149B">
        <w:trPr>
          <w:trHeight w:val="212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64C1C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628671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病例报告表（或EDC）样表（版本号，日期）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CC86B4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可提供电子版或纸质版</w:t>
            </w:r>
          </w:p>
        </w:tc>
      </w:tr>
      <w:tr w:rsidR="00E1149B" w:rsidRPr="00E1149B" w14:paraId="71369B57" w14:textId="77777777" w:rsidTr="00E1149B">
        <w:trPr>
          <w:trHeight w:val="314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980D3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FC8D6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研究病历样表（版本号、日期）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289DB2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根据GCP的要求，原始记录应以电子门诊或住院病历形式记录，原则上不再要求提供研究病历，如有特殊情况需要有研究病历者，申办者可提供并说明理由</w:t>
            </w:r>
          </w:p>
        </w:tc>
      </w:tr>
      <w:tr w:rsidR="00E1149B" w:rsidRPr="00E1149B" w14:paraId="61814A50" w14:textId="77777777" w:rsidTr="00E1149B">
        <w:trPr>
          <w:trHeight w:val="319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2451A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1D0E3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知情同意书（版本号、日期）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75129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知情同意需按照新版GCP的知情要素完整，且通俗易懂，</w:t>
            </w:r>
            <w:proofErr w:type="gramStart"/>
            <w:r w:rsidRPr="00E1149B">
              <w:rPr>
                <w:rFonts w:hint="eastAsia"/>
              </w:rPr>
              <w:t>签字页要签名</w:t>
            </w:r>
            <w:proofErr w:type="gramEnd"/>
            <w:r w:rsidRPr="00E1149B">
              <w:rPr>
                <w:rFonts w:hint="eastAsia"/>
              </w:rPr>
              <w:t>、签日期，留有电话，并规定监护人和第三方见证人签字的说明</w:t>
            </w:r>
          </w:p>
        </w:tc>
      </w:tr>
      <w:tr w:rsidR="00E1149B" w:rsidRPr="00E1149B" w14:paraId="369EB09C" w14:textId="77777777" w:rsidTr="00E1149B">
        <w:trPr>
          <w:trHeight w:val="314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CD6A6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93743F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受试者招募广告（如适用）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DF7BD7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含版本号、版本日期。招募广告要写明发布的渠道（例如是易拉宝、</w:t>
            </w:r>
            <w:proofErr w:type="gramStart"/>
            <w:r w:rsidRPr="00E1149B">
              <w:rPr>
                <w:rFonts w:hint="eastAsia"/>
              </w:rPr>
              <w:t>官网还是微信公众号</w:t>
            </w:r>
            <w:proofErr w:type="gramEnd"/>
            <w:r w:rsidRPr="00E1149B">
              <w:rPr>
                <w:rFonts w:hint="eastAsia"/>
              </w:rPr>
              <w:t>，如有需要可根据不同发布渠道提供多个版本）。</w:t>
            </w:r>
          </w:p>
        </w:tc>
      </w:tr>
      <w:tr w:rsidR="00E1149B" w:rsidRPr="00E1149B" w14:paraId="39D9D754" w14:textId="77777777" w:rsidTr="00E1149B">
        <w:trPr>
          <w:trHeight w:val="106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EA31C8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8488B8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其他受试者相关材料（如适用）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7DC41F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如受试者须知等宣教材料，受试者日记卡，受试者评分表等</w:t>
            </w:r>
          </w:p>
        </w:tc>
      </w:tr>
      <w:tr w:rsidR="00E1149B" w:rsidRPr="00E1149B" w14:paraId="1C183824" w14:textId="77777777" w:rsidTr="00E1149B">
        <w:trPr>
          <w:trHeight w:val="314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68FB3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63AC3A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试验用药品的药检证明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D323FC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包括试验药、对照药或安慰剂、模拟剂均需提供，对照药还需提供注册证，疫苗类制品、血液制品、NMPA规定的其他</w:t>
            </w:r>
            <w:r w:rsidRPr="00E1149B">
              <w:rPr>
                <w:rFonts w:hint="eastAsia"/>
              </w:rPr>
              <w:lastRenderedPageBreak/>
              <w:t>生物制品</w:t>
            </w:r>
            <w:proofErr w:type="gramStart"/>
            <w:r w:rsidRPr="00E1149B">
              <w:rPr>
                <w:rFonts w:hint="eastAsia"/>
              </w:rPr>
              <w:t>需中国</w:t>
            </w:r>
            <w:proofErr w:type="gramEnd"/>
            <w:r w:rsidRPr="00E1149B">
              <w:rPr>
                <w:rFonts w:hint="eastAsia"/>
              </w:rPr>
              <w:t>食品药品检定研究院出具的药检报告。</w:t>
            </w:r>
          </w:p>
        </w:tc>
      </w:tr>
      <w:tr w:rsidR="00E1149B" w:rsidRPr="00E1149B" w14:paraId="5B98DAD8" w14:textId="77777777" w:rsidTr="00E1149B">
        <w:trPr>
          <w:trHeight w:val="106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E7C65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lastRenderedPageBreak/>
              <w:t>17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670BD3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试验用药品的说明书（如适用）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D9563" w14:textId="77777777" w:rsidR="00E1149B" w:rsidRPr="00E1149B" w:rsidRDefault="00E1149B" w:rsidP="00E1149B">
            <w:pPr>
              <w:rPr>
                <w:rFonts w:hint="eastAsia"/>
              </w:rPr>
            </w:pPr>
          </w:p>
        </w:tc>
      </w:tr>
      <w:tr w:rsidR="00E1149B" w:rsidRPr="00E1149B" w14:paraId="2D0A6453" w14:textId="77777777" w:rsidTr="00E1149B">
        <w:trPr>
          <w:trHeight w:val="207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106F2E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18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8601F8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临床试验责任保险单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63ACA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如本中心为组长单位或伦理前置审查者，可提供承诺购买保险的声明，保险可以在项目启动之前提供</w:t>
            </w:r>
          </w:p>
        </w:tc>
      </w:tr>
      <w:tr w:rsidR="00E1149B" w:rsidRPr="00E1149B" w14:paraId="46DE9618" w14:textId="77777777" w:rsidTr="00E1149B">
        <w:trPr>
          <w:trHeight w:val="106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B79142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19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4C40EE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盲法试验</w:t>
            </w:r>
            <w:proofErr w:type="gramStart"/>
            <w:r w:rsidRPr="00E1149B">
              <w:rPr>
                <w:rFonts w:hint="eastAsia"/>
              </w:rPr>
              <w:t>的揭盲程序</w:t>
            </w:r>
            <w:proofErr w:type="gramEnd"/>
            <w:r w:rsidRPr="00E1149B">
              <w:rPr>
                <w:rFonts w:hint="eastAsia"/>
              </w:rPr>
              <w:t>（如适用）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63CDE5" w14:textId="77777777" w:rsidR="00E1149B" w:rsidRPr="00E1149B" w:rsidRDefault="00E1149B" w:rsidP="00E1149B">
            <w:pPr>
              <w:rPr>
                <w:rFonts w:hint="eastAsia"/>
              </w:rPr>
            </w:pPr>
          </w:p>
        </w:tc>
      </w:tr>
      <w:tr w:rsidR="00E1149B" w:rsidRPr="00E1149B" w14:paraId="043AF69A" w14:textId="77777777" w:rsidTr="00E1149B">
        <w:trPr>
          <w:trHeight w:val="212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0F0A1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20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8C4F7E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申办者、CRO、统计单位、参加单位信息表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26A0A" w14:textId="77777777" w:rsidR="00E1149B" w:rsidRPr="00E1149B" w:rsidRDefault="00E1149B" w:rsidP="00E1149B">
            <w:pPr>
              <w:rPr>
                <w:rFonts w:hint="eastAsia"/>
              </w:rPr>
            </w:pPr>
          </w:p>
        </w:tc>
      </w:tr>
      <w:tr w:rsidR="00E1149B" w:rsidRPr="00E1149B" w14:paraId="25BFB710" w14:textId="77777777" w:rsidTr="00E1149B">
        <w:trPr>
          <w:trHeight w:val="106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1313D0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EBF04D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本中心拟参加本试验的研究者名单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6E765E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包括姓名、专业、职称、初步分工等</w:t>
            </w:r>
          </w:p>
        </w:tc>
      </w:tr>
      <w:tr w:rsidR="00E1149B" w:rsidRPr="00E1149B" w14:paraId="27AAD656" w14:textId="77777777" w:rsidTr="00E1149B">
        <w:trPr>
          <w:trHeight w:val="207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E9C28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22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97EF9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本中心拟参加本试验的研究者资质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290B7F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包括：研究者简历原件（本人签名签日期）、以下复印件：GCP证书（近三年）、医师/护师执业证书</w:t>
            </w:r>
          </w:p>
        </w:tc>
      </w:tr>
      <w:tr w:rsidR="00E1149B" w:rsidRPr="00E1149B" w14:paraId="22631A67" w14:textId="77777777" w:rsidTr="00E1149B">
        <w:trPr>
          <w:trHeight w:val="212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D7ADB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23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8F06B1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选择安慰剂对照的原因说明（如适用）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0073B0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如果是选择安慰剂作为对照，请提供选择安慰剂作为对照的原因说明</w:t>
            </w:r>
          </w:p>
        </w:tc>
      </w:tr>
      <w:tr w:rsidR="00E1149B" w:rsidRPr="00E1149B" w14:paraId="0B040A91" w14:textId="77777777" w:rsidTr="00E1149B">
        <w:trPr>
          <w:trHeight w:val="106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8B7CF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B06A99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风险管理计划（如适用）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F646BA" w14:textId="77777777" w:rsidR="00E1149B" w:rsidRPr="00E1149B" w:rsidRDefault="00E1149B" w:rsidP="00E1149B">
            <w:pPr>
              <w:rPr>
                <w:rFonts w:hint="eastAsia"/>
              </w:rPr>
            </w:pPr>
          </w:p>
        </w:tc>
      </w:tr>
      <w:tr w:rsidR="00E1149B" w:rsidRPr="00E1149B" w14:paraId="4C4FD55B" w14:textId="77777777" w:rsidTr="00E1149B">
        <w:trPr>
          <w:trHeight w:val="314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60A9C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25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A1C369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SMO和CRC资质资料（如适用）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26A96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申办者/CRO的委托书；营业执照；CRC资质证明文件（简历、委托函、以下为复印件：身份证、毕业证、学位证、GCP证书（近三年））</w:t>
            </w:r>
          </w:p>
        </w:tc>
      </w:tr>
      <w:tr w:rsidR="00E1149B" w:rsidRPr="00E1149B" w14:paraId="23B38D4C" w14:textId="77777777" w:rsidTr="00E1149B">
        <w:trPr>
          <w:trHeight w:val="106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B8EE3C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26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983609" w14:textId="609BB119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药物临床试验</w:t>
            </w:r>
            <w:r w:rsidR="002E2032">
              <w:rPr>
                <w:rFonts w:hint="eastAsia"/>
              </w:rPr>
              <w:t>申批</w:t>
            </w:r>
            <w:r w:rsidRPr="00E1149B">
              <w:rPr>
                <w:rFonts w:hint="eastAsia"/>
              </w:rPr>
              <w:t>表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5DC0A0" w14:textId="47A38070" w:rsidR="00E1149B" w:rsidRPr="00E1149B" w:rsidRDefault="00E1149B" w:rsidP="00E1149B">
            <w:pPr>
              <w:rPr>
                <w:rFonts w:hint="eastAsia"/>
              </w:rPr>
            </w:pPr>
          </w:p>
        </w:tc>
      </w:tr>
      <w:tr w:rsidR="00E1149B" w:rsidRPr="00E1149B" w14:paraId="5AED9C82" w14:textId="77777777" w:rsidTr="00E1149B">
        <w:trPr>
          <w:trHeight w:val="106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067EA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27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F448A" w14:textId="77777777" w:rsidR="00E1149B" w:rsidRPr="00E1149B" w:rsidRDefault="00E1149B" w:rsidP="00E1149B">
            <w:pPr>
              <w:rPr>
                <w:rFonts w:hint="eastAsia"/>
              </w:rPr>
            </w:pPr>
            <w:r w:rsidRPr="00E1149B">
              <w:rPr>
                <w:rFonts w:hint="eastAsia"/>
              </w:rPr>
              <w:t>研究者利益冲突声明</w:t>
            </w:r>
          </w:p>
        </w:tc>
        <w:tc>
          <w:tcPr>
            <w:tcW w:w="0" w:type="auto"/>
            <w:shd w:val="clear" w:color="auto" w:fill="F7FAFF"/>
            <w:vAlign w:val="center"/>
            <w:hideMark/>
          </w:tcPr>
          <w:p w14:paraId="37553561" w14:textId="77777777" w:rsidR="00E1149B" w:rsidRPr="00E1149B" w:rsidRDefault="00E1149B" w:rsidP="00E1149B"/>
        </w:tc>
      </w:tr>
    </w:tbl>
    <w:p w14:paraId="798A8593" w14:textId="3E03C9EC" w:rsidR="00E1149B" w:rsidRDefault="00E1149B" w:rsidP="00E3657F"/>
    <w:p w14:paraId="32663F7F" w14:textId="4F03473F" w:rsidR="002E2032" w:rsidRDefault="002E2032" w:rsidP="00E3657F"/>
    <w:p w14:paraId="4039C507" w14:textId="77777777" w:rsidR="002E2032" w:rsidRPr="002E2032" w:rsidRDefault="002E2032" w:rsidP="00E3657F">
      <w:pPr>
        <w:rPr>
          <w:rFonts w:hint="eastAsia"/>
        </w:rPr>
      </w:pPr>
    </w:p>
    <w:sectPr w:rsidR="002E2032" w:rsidRPr="002E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68318" w14:textId="77777777" w:rsidR="006B0D00" w:rsidRDefault="006B0D00" w:rsidP="00E1149B">
      <w:r>
        <w:separator/>
      </w:r>
    </w:p>
  </w:endnote>
  <w:endnote w:type="continuationSeparator" w:id="0">
    <w:p w14:paraId="45288E0C" w14:textId="77777777" w:rsidR="006B0D00" w:rsidRDefault="006B0D00" w:rsidP="00E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1E96D" w14:textId="77777777" w:rsidR="006B0D00" w:rsidRDefault="006B0D00" w:rsidP="00E1149B">
      <w:r>
        <w:separator/>
      </w:r>
    </w:p>
  </w:footnote>
  <w:footnote w:type="continuationSeparator" w:id="0">
    <w:p w14:paraId="03D74A81" w14:textId="77777777" w:rsidR="006B0D00" w:rsidRDefault="006B0D00" w:rsidP="00E11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8"/>
    <w:rsid w:val="002E2032"/>
    <w:rsid w:val="005F7C1A"/>
    <w:rsid w:val="006B0D00"/>
    <w:rsid w:val="00AD4838"/>
    <w:rsid w:val="00E1149B"/>
    <w:rsid w:val="00E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35B29"/>
  <w15:chartTrackingRefBased/>
  <w15:docId w15:val="{E4019E1C-ADF6-4E11-802C-52FA003D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14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1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倩倩</dc:creator>
  <cp:keywords/>
  <dc:description/>
  <cp:lastModifiedBy>夏 倩倩</cp:lastModifiedBy>
  <cp:revision>4</cp:revision>
  <dcterms:created xsi:type="dcterms:W3CDTF">2021-02-05T01:19:00Z</dcterms:created>
  <dcterms:modified xsi:type="dcterms:W3CDTF">2021-02-05T01:20:00Z</dcterms:modified>
</cp:coreProperties>
</file>